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76F2" w14:textId="77777777" w:rsidR="00126F5B" w:rsidRDefault="00126F5B" w:rsidP="00126F5B">
      <w:pPr>
        <w:tabs>
          <w:tab w:val="left" w:pos="2385"/>
        </w:tabs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51B5438" wp14:editId="747AC76D">
            <wp:simplePos x="0" y="0"/>
            <wp:positionH relativeFrom="column">
              <wp:posOffset>4030980</wp:posOffset>
            </wp:positionH>
            <wp:positionV relativeFrom="paragraph">
              <wp:posOffset>-480060</wp:posOffset>
            </wp:positionV>
            <wp:extent cx="2263140" cy="754380"/>
            <wp:effectExtent l="0" t="0" r="3810" b="7620"/>
            <wp:wrapTight wrapText="bothSides">
              <wp:wrapPolygon edited="0">
                <wp:start x="364" y="0"/>
                <wp:lineTo x="0" y="1091"/>
                <wp:lineTo x="0" y="10364"/>
                <wp:lineTo x="3818" y="17455"/>
                <wp:lineTo x="4727" y="17455"/>
                <wp:lineTo x="4727" y="20727"/>
                <wp:lineTo x="5273" y="21273"/>
                <wp:lineTo x="10909" y="21273"/>
                <wp:lineTo x="18909" y="21273"/>
                <wp:lineTo x="20364" y="21273"/>
                <wp:lineTo x="20545" y="18000"/>
                <wp:lineTo x="19455" y="17455"/>
                <wp:lineTo x="21455" y="13091"/>
                <wp:lineTo x="21455" y="7091"/>
                <wp:lineTo x="9455" y="1636"/>
                <wp:lineTo x="2545" y="0"/>
                <wp:lineTo x="364" y="0"/>
              </wp:wrapPolygon>
            </wp:wrapTight>
            <wp:docPr id="1" name="Picture 1" descr="Her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m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1EC9F" w14:textId="77777777" w:rsidR="00152B22" w:rsidRPr="007C175E" w:rsidRDefault="00152B22" w:rsidP="00152B22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Our Curriculum</w:t>
      </w:r>
    </w:p>
    <w:p w14:paraId="5E3F46E8" w14:textId="77777777" w:rsidR="00152B22" w:rsidRPr="007C175E" w:rsidRDefault="00152B22" w:rsidP="00152B22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Overview</w:t>
      </w:r>
      <w:r w:rsidR="000B7282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and Key Principles</w:t>
      </w:r>
    </w:p>
    <w:p w14:paraId="3C90267F" w14:textId="77777777" w:rsidR="008D173C" w:rsidRDefault="008D173C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Our purpose is to create learners who can thi</w:t>
      </w:r>
      <w:r w:rsidR="00F7065B">
        <w:rPr>
          <w:rFonts w:ascii="Arial" w:hAnsi="Arial" w:cs="Arial"/>
          <w:color w:val="000000" w:themeColor="text1"/>
          <w:sz w:val="24"/>
          <w:szCs w:val="24"/>
        </w:rPr>
        <w:t xml:space="preserve">nk, reflect, question, connect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 self-aware and determined. We support this by providing opportunities for children to build knowledge and skills, make meaning and apply their understanding. </w:t>
      </w:r>
    </w:p>
    <w:p w14:paraId="0121A56A" w14:textId="77777777" w:rsidR="00FF1F14" w:rsidRDefault="008D173C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It is our intention that 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pupils at 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Ormiston Herman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Aca</w:t>
      </w:r>
      <w:r w:rsidR="00FF1F14">
        <w:rPr>
          <w:rFonts w:ascii="Arial" w:hAnsi="Arial" w:cs="Arial"/>
          <w:color w:val="000000" w:themeColor="text1"/>
          <w:sz w:val="24"/>
          <w:szCs w:val="24"/>
        </w:rPr>
        <w:t>dem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y</w:t>
      </w:r>
      <w:r w:rsidR="00FF1F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FF1F14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able to think well and feel well so that they can contribute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develop a sense of 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>belong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to their </w:t>
      </w:r>
      <w:r w:rsidR="00B031FE" w:rsidRPr="00FF1F14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and the </w:t>
      </w:r>
      <w:r w:rsidR="00B031FE" w:rsidRPr="00FF1F14">
        <w:rPr>
          <w:rFonts w:ascii="Arial" w:hAnsi="Arial" w:cs="Arial"/>
          <w:color w:val="000000" w:themeColor="text1"/>
          <w:sz w:val="24"/>
          <w:szCs w:val="24"/>
        </w:rPr>
        <w:t>wider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world around them. We 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want them to leave our academy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with the </w:t>
      </w:r>
      <w:r w:rsidR="00B031FE" w:rsidRPr="00FF1F14">
        <w:rPr>
          <w:rFonts w:ascii="Arial" w:hAnsi="Arial" w:cs="Arial"/>
          <w:color w:val="000000" w:themeColor="text1"/>
          <w:sz w:val="24"/>
          <w:szCs w:val="24"/>
        </w:rPr>
        <w:t>academic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knowledge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>, understanding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and skill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s they will need to succeed at Secondary S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>chool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,</w:t>
      </w:r>
      <w:r w:rsidR="00FF1F14" w:rsidRPr="00FF1F14">
        <w:rPr>
          <w:rFonts w:ascii="Arial" w:hAnsi="Arial" w:cs="Arial"/>
          <w:color w:val="000000" w:themeColor="text1"/>
          <w:sz w:val="24"/>
          <w:szCs w:val="24"/>
        </w:rPr>
        <w:t xml:space="preserve"> but also to have a love of learning and a sense of their own agency and importance in the world. We want our pupils to feel that they have a voice and a stake in the future.</w:t>
      </w:r>
    </w:p>
    <w:p w14:paraId="02D38DBB" w14:textId="77777777" w:rsidR="00EA1AC0" w:rsidRDefault="00EA1AC0" w:rsidP="00EA1AC0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 w:rsidRPr="00FF1F14">
        <w:rPr>
          <w:rFonts w:ascii="Arial" w:hAnsi="Arial" w:cs="Arial"/>
          <w:color w:val="000000" w:themeColor="text1"/>
          <w:sz w:val="24"/>
          <w:szCs w:val="24"/>
        </w:rPr>
        <w:t>We have built a curriculum that is ambitious and designed to provide pupils with the knowledge, skills and cultural capital they will need to succeed in life. Pupils study the full curric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ulum, based upon </w:t>
      </w:r>
      <w:r w:rsidRPr="00FF1F14">
        <w:rPr>
          <w:rFonts w:ascii="Arial" w:hAnsi="Arial" w:cs="Arial"/>
          <w:color w:val="000000" w:themeColor="text1"/>
          <w:sz w:val="24"/>
          <w:szCs w:val="24"/>
        </w:rPr>
        <w:t>National Curriculum expectations.</w:t>
      </w:r>
    </w:p>
    <w:p w14:paraId="08F0F796" w14:textId="77777777" w:rsidR="00EA1AC0" w:rsidRDefault="00EA1AC0" w:rsidP="00EA1AC0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 w:rsidRPr="00FF1F14">
        <w:rPr>
          <w:rFonts w:ascii="Arial" w:hAnsi="Arial" w:cs="Arial"/>
          <w:color w:val="000000" w:themeColor="text1"/>
          <w:sz w:val="24"/>
          <w:szCs w:val="24"/>
        </w:rPr>
        <w:t xml:space="preserve">Our curriculum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provides an appropriate balance of knowledge, skills and understanding. </w:t>
      </w:r>
      <w:r w:rsidR="004C7C33">
        <w:rPr>
          <w:rFonts w:ascii="Arial" w:hAnsi="Arial" w:cs="Arial"/>
          <w:color w:val="000000" w:themeColor="text1"/>
          <w:sz w:val="24"/>
          <w:szCs w:val="24"/>
        </w:rPr>
        <w:t xml:space="preserve">It is coherently planned 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and sequenced towards accumulating</w:t>
      </w:r>
      <w:r w:rsidR="004C7C33">
        <w:rPr>
          <w:rFonts w:ascii="Arial" w:hAnsi="Arial" w:cs="Arial"/>
          <w:color w:val="000000" w:themeColor="text1"/>
          <w:sz w:val="24"/>
          <w:szCs w:val="24"/>
        </w:rPr>
        <w:t xml:space="preserve"> knowledge and skills for future learning and beyond. Subject Leaders support the wider planning of the curriculum as well as leading CPD to develop teachers’ subject knowledge and pedagogical practice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,</w:t>
      </w:r>
      <w:r w:rsidR="004C7C33">
        <w:rPr>
          <w:rFonts w:ascii="Arial" w:hAnsi="Arial" w:cs="Arial"/>
          <w:color w:val="000000" w:themeColor="text1"/>
          <w:sz w:val="24"/>
          <w:szCs w:val="24"/>
        </w:rPr>
        <w:t xml:space="preserve"> as well as monitoring the impact of the curriculum.</w:t>
      </w:r>
    </w:p>
    <w:p w14:paraId="1F56DA65" w14:textId="77777777" w:rsidR="00D523AB" w:rsidRDefault="00EA1AC0" w:rsidP="00EA1AC0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acquisition and development of vocabulary and language is placed at the heart of all learning and underpins the curriculum.</w:t>
      </w:r>
    </w:p>
    <w:p w14:paraId="620515ED" w14:textId="77777777" w:rsidR="00EA1AC0" w:rsidRDefault="00EA1AC0" w:rsidP="00EA1AC0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High expectations of academic achievement are supported by a rich and varied wider curriculum, including enrichment opportunities, which enhance learning and </w:t>
      </w:r>
      <w:r w:rsidR="008D173C">
        <w:rPr>
          <w:rFonts w:ascii="Arial" w:hAnsi="Arial" w:cs="Arial"/>
          <w:color w:val="000000" w:themeColor="text1"/>
          <w:sz w:val="24"/>
          <w:szCs w:val="24"/>
        </w:rPr>
        <w:t xml:space="preserve">also serve to </w:t>
      </w:r>
      <w:r>
        <w:rPr>
          <w:rFonts w:ascii="Arial" w:hAnsi="Arial" w:cs="Arial"/>
          <w:color w:val="000000" w:themeColor="text1"/>
          <w:sz w:val="24"/>
          <w:szCs w:val="24"/>
        </w:rPr>
        <w:t>support pupils’ personal development.</w:t>
      </w:r>
    </w:p>
    <w:p w14:paraId="7826FF88" w14:textId="77777777" w:rsidR="00EA1AC0" w:rsidRDefault="00EA1AC0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B260DD4" w14:textId="77777777" w:rsidR="000B7282" w:rsidRPr="007C175E" w:rsidRDefault="00C15142" w:rsidP="00FF1F14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How does our curriculum</w:t>
      </w:r>
      <w:r w:rsidR="00F85371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organisation</w:t>
      </w: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support pupils’</w:t>
      </w:r>
      <w:r w:rsidR="006B018E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acquisition </w:t>
      </w:r>
      <w:r w:rsidR="00D943B9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and retention </w:t>
      </w:r>
      <w:r w:rsidR="006B018E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of knowledge, understanding and skills</w:t>
      </w:r>
      <w:r w:rsidR="000B7282"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14:paraId="4DED3696" w14:textId="77777777" w:rsidR="00D943B9" w:rsidRDefault="00F85371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Whole school timetabling and mapping 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 xml:space="preserve">and careful sequencing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ensures 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>not only coverage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,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 xml:space="preserve"> but </w:t>
      </w:r>
      <w:r>
        <w:rPr>
          <w:rFonts w:ascii="Arial" w:hAnsi="Arial" w:cs="Arial"/>
          <w:color w:val="000000" w:themeColor="text1"/>
          <w:sz w:val="24"/>
          <w:szCs w:val="24"/>
        </w:rPr>
        <w:t>a bro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ad and balanced curriculum,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 xml:space="preserve"> through which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knowledge, understanding and skills have been carefully considered across key stages to support breadth and balance. 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 xml:space="preserve">Links between areas of knowledge are maximised and made explicit. </w:t>
      </w:r>
    </w:p>
    <w:p w14:paraId="2053F7A7" w14:textId="77777777" w:rsidR="00FF1F14" w:rsidRDefault="00D943B9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Systematic and overt opportunit</w:t>
      </w:r>
      <w:r w:rsidR="00650F3C">
        <w:rPr>
          <w:rFonts w:ascii="Arial" w:hAnsi="Arial" w:cs="Arial"/>
          <w:color w:val="000000" w:themeColor="text1"/>
          <w:sz w:val="24"/>
          <w:szCs w:val="24"/>
        </w:rPr>
        <w:t xml:space="preserve">ies for children to revisit, </w:t>
      </w:r>
      <w:r>
        <w:rPr>
          <w:rFonts w:ascii="Arial" w:hAnsi="Arial" w:cs="Arial"/>
          <w:color w:val="000000" w:themeColor="text1"/>
          <w:sz w:val="24"/>
          <w:szCs w:val="24"/>
        </w:rPr>
        <w:t>apply</w:t>
      </w:r>
      <w:r w:rsidR="00650F3C">
        <w:rPr>
          <w:rFonts w:ascii="Arial" w:hAnsi="Arial" w:cs="Arial"/>
          <w:color w:val="000000" w:themeColor="text1"/>
          <w:sz w:val="24"/>
          <w:szCs w:val="24"/>
        </w:rPr>
        <w:t xml:space="preserve"> and extend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previous knowledge </w:t>
      </w:r>
      <w:r w:rsidR="00650F3C">
        <w:rPr>
          <w:rFonts w:ascii="Arial" w:hAnsi="Arial" w:cs="Arial"/>
          <w:color w:val="000000" w:themeColor="text1"/>
          <w:sz w:val="24"/>
          <w:szCs w:val="24"/>
        </w:rPr>
        <w:t xml:space="preserve">and skills </w:t>
      </w:r>
      <w:r>
        <w:rPr>
          <w:rFonts w:ascii="Arial" w:hAnsi="Arial" w:cs="Arial"/>
          <w:color w:val="000000" w:themeColor="text1"/>
          <w:sz w:val="24"/>
          <w:szCs w:val="24"/>
        </w:rPr>
        <w:t>are interwoven throughout the curriculum</w:t>
      </w:r>
      <w:r w:rsidR="00C1514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508F5E" w14:textId="77777777" w:rsidR="00F7065B" w:rsidRDefault="00F7065B" w:rsidP="00F7065B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Progression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both within and across year groups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, is carefully planned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ensure that pupils are able to develop and build upon their conceptual understanding over time. </w:t>
      </w:r>
      <w:r w:rsidR="00C15142">
        <w:rPr>
          <w:rFonts w:ascii="Arial" w:hAnsi="Arial" w:cs="Arial"/>
          <w:color w:val="000000" w:themeColor="text1"/>
          <w:sz w:val="24"/>
          <w:szCs w:val="24"/>
        </w:rPr>
        <w:t>Emphasis upon assumed knowledge and direct teaching approaches serve to maximise the impact of teaching.</w:t>
      </w:r>
    </w:p>
    <w:p w14:paraId="3D98F0DA" w14:textId="77777777" w:rsidR="004C7C33" w:rsidRDefault="00C15142" w:rsidP="00C15142">
      <w:pPr>
        <w:tabs>
          <w:tab w:val="left" w:pos="2385"/>
        </w:tabs>
        <w:rPr>
          <w:rFonts w:ascii="Arial" w:hAnsi="Arial" w:cs="Arial"/>
          <w:color w:val="FF0000"/>
          <w:sz w:val="24"/>
          <w:szCs w:val="24"/>
        </w:rPr>
      </w:pPr>
      <w:r w:rsidRPr="00645F21">
        <w:rPr>
          <w:rFonts w:ascii="Arial" w:hAnsi="Arial" w:cs="Arial"/>
          <w:color w:val="000000" w:themeColor="text1"/>
          <w:sz w:val="24"/>
          <w:szCs w:val="24"/>
        </w:rPr>
        <w:t>A range of assessment measures (formative and summative) are outlined in our Teaching and Learning policy</w:t>
      </w:r>
      <w:r w:rsidRPr="00645F21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2F5C9DA8" w14:textId="77777777" w:rsidR="006B018E" w:rsidRPr="00FF1F14" w:rsidRDefault="006B018E" w:rsidP="00F7065B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F19144B" w14:textId="77777777" w:rsidR="00496B8E" w:rsidRPr="007C175E" w:rsidRDefault="00496B8E" w:rsidP="00FF1F14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How does our curriculum reflect the culture, climate and values of our school?</w:t>
      </w:r>
    </w:p>
    <w:p w14:paraId="502C480D" w14:textId="77777777" w:rsidR="00FE7274" w:rsidRDefault="00650F3C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Our curriculum has been carefully designed with our children in mind and based upon what we feel education should provide. </w:t>
      </w:r>
      <w:r w:rsidR="002E2DA2">
        <w:rPr>
          <w:rFonts w:ascii="Arial" w:hAnsi="Arial" w:cs="Arial"/>
          <w:color w:val="000000" w:themeColor="text1"/>
          <w:sz w:val="24"/>
          <w:szCs w:val="24"/>
        </w:rPr>
        <w:t>In designing our curriculum, we considered the following:</w:t>
      </w:r>
    </w:p>
    <w:p w14:paraId="4DD50D83" w14:textId="77777777" w:rsidR="002E2DA2" w:rsidRDefault="002E2DA2" w:rsidP="00F85371">
      <w:pPr>
        <w:pStyle w:val="ListParagraph"/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1743EEC" w14:textId="77777777" w:rsidR="00F85371" w:rsidRDefault="00F85371" w:rsidP="00F85371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Cohesive and coherent structures to aid systematic, purposeful learning and to support teachers’ subject knowledge and understanding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9E9F86" w14:textId="77777777" w:rsidR="00F85371" w:rsidRDefault="00F85371" w:rsidP="00F85371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Overarching linkage of concepts – to build progression and make overt links across and within subjects to deepen understanding and skills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5AD5EF" w14:textId="77777777" w:rsidR="002E2DA2" w:rsidRDefault="002E2DA2" w:rsidP="002E2DA2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Overlearning opportunities – planning and pedagogy facilitate purposeful overlearning </w:t>
      </w:r>
      <w:r w:rsidR="00EE793C">
        <w:rPr>
          <w:rFonts w:ascii="Arial" w:hAnsi="Arial" w:cs="Arial"/>
          <w:color w:val="000000" w:themeColor="text1"/>
          <w:sz w:val="24"/>
          <w:szCs w:val="24"/>
        </w:rPr>
        <w:t xml:space="preserve">to support </w:t>
      </w:r>
      <w:r w:rsidR="0047524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E793C">
        <w:rPr>
          <w:rFonts w:ascii="Arial" w:hAnsi="Arial" w:cs="Arial"/>
          <w:color w:val="000000" w:themeColor="text1"/>
          <w:sz w:val="24"/>
          <w:szCs w:val="24"/>
        </w:rPr>
        <w:t>transfer of learning to long term memory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CE1999" w14:textId="77777777" w:rsidR="00BA00B4" w:rsidRDefault="00BA00B4" w:rsidP="002E2DA2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Core vocabulary- reinforced and presented in a range of contexts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B8F260" w14:textId="77777777" w:rsidR="002E2DA2" w:rsidRDefault="002E2DA2" w:rsidP="002E2DA2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Rich experiences – linked to purposeful learning activities and </w:t>
      </w:r>
      <w:r w:rsidR="00BA00B4">
        <w:rPr>
          <w:rFonts w:ascii="Arial" w:hAnsi="Arial" w:cs="Arial"/>
          <w:color w:val="000000" w:themeColor="text1"/>
          <w:sz w:val="24"/>
          <w:szCs w:val="24"/>
        </w:rPr>
        <w:t>to provide wider life experiences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372704" w14:textId="77777777" w:rsidR="0074181B" w:rsidRDefault="007C175E" w:rsidP="0074181B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Integration of British V</w:t>
      </w:r>
      <w:r w:rsidR="00945A39">
        <w:rPr>
          <w:rFonts w:ascii="Arial" w:hAnsi="Arial" w:cs="Arial"/>
          <w:color w:val="000000" w:themeColor="text1"/>
          <w:sz w:val="24"/>
          <w:szCs w:val="24"/>
        </w:rPr>
        <w:t>alues -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 xml:space="preserve"> through pastoral care and SMSC as well as throughout the academic curriculum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E08BA2" w14:textId="77777777" w:rsidR="0074181B" w:rsidRDefault="00650F3C" w:rsidP="0074181B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Cultural breadth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 xml:space="preserve"> – offers insi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 xml:space="preserve">ght into key aspects 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>of B</w:t>
      </w:r>
      <w:r w:rsidR="006B018E">
        <w:rPr>
          <w:rFonts w:ascii="Arial" w:hAnsi="Arial" w:cs="Arial"/>
          <w:color w:val="000000" w:themeColor="text1"/>
          <w:sz w:val="24"/>
          <w:szCs w:val="24"/>
        </w:rPr>
        <w:t>ritish culture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 xml:space="preserve"> as well as exposure to European and wider world cultural influences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59B51F" w14:textId="77777777" w:rsidR="0074181B" w:rsidRPr="0074181B" w:rsidRDefault="0074181B" w:rsidP="0074181B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Aspiration raising – providing pupils with a clear insight into </w:t>
      </w:r>
      <w:r w:rsidR="00645F21">
        <w:rPr>
          <w:rFonts w:ascii="Arial" w:hAnsi="Arial" w:cs="Arial"/>
          <w:color w:val="000000" w:themeColor="text1"/>
          <w:sz w:val="24"/>
          <w:szCs w:val="24"/>
        </w:rPr>
        <w:t xml:space="preserve">further education and </w:t>
      </w:r>
      <w:r>
        <w:rPr>
          <w:rFonts w:ascii="Arial" w:hAnsi="Arial" w:cs="Arial"/>
          <w:color w:val="000000" w:themeColor="text1"/>
          <w:sz w:val="24"/>
          <w:szCs w:val="24"/>
        </w:rPr>
        <w:t>career opportunities (Careers Mark Award</w:t>
      </w:r>
      <w:r w:rsidR="00945A3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etc.)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8635FD" w14:textId="77777777" w:rsidR="0074181B" w:rsidRDefault="00C15142" w:rsidP="0074181B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 emphasis upon s</w:t>
      </w:r>
      <w:r w:rsidR="0074181B">
        <w:rPr>
          <w:rFonts w:ascii="Arial" w:hAnsi="Arial" w:cs="Arial"/>
          <w:color w:val="000000" w:themeColor="text1"/>
          <w:sz w:val="24"/>
          <w:szCs w:val="24"/>
        </w:rPr>
        <w:t>ocial and moral rights and responsibilities - taught in context through the academic curriculum as well as the wider curriculum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D1E894" w14:textId="77777777" w:rsidR="00D56E5B" w:rsidRPr="0074181B" w:rsidRDefault="00D56E5B" w:rsidP="0074181B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PSHE/</w:t>
      </w:r>
      <w:r w:rsidR="00475249">
        <w:rPr>
          <w:rFonts w:ascii="Arial" w:hAnsi="Arial" w:cs="Arial"/>
          <w:color w:val="000000" w:themeColor="text1"/>
          <w:sz w:val="24"/>
          <w:szCs w:val="24"/>
        </w:rPr>
        <w:t>RS</w:t>
      </w:r>
      <w:r>
        <w:rPr>
          <w:rFonts w:ascii="Arial" w:hAnsi="Arial" w:cs="Arial"/>
          <w:color w:val="000000" w:themeColor="text1"/>
          <w:sz w:val="24"/>
          <w:szCs w:val="24"/>
        </w:rPr>
        <w:t>E provision equips pupils with the knowledge and understanding to make positive and informed choices in their later lives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D43C0C" w14:textId="77777777" w:rsidR="00BA00B4" w:rsidRDefault="00BA00B4" w:rsidP="002E2DA2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Strong provision for pupils with SEND – </w:t>
      </w:r>
      <w:r w:rsidR="00C1514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tailored but ambitious curriculum</w:t>
      </w:r>
      <w:r w:rsidR="007C17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1080BC" w14:textId="77777777" w:rsidR="00BA00B4" w:rsidRPr="002E2DA2" w:rsidRDefault="007C175E" w:rsidP="002E2DA2">
      <w:pPr>
        <w:pStyle w:val="ListParagraph"/>
        <w:numPr>
          <w:ilvl w:val="0"/>
          <w:numId w:val="6"/>
        </w:num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Strong well</w:t>
      </w:r>
      <w:r w:rsidR="00EE793C">
        <w:rPr>
          <w:rFonts w:ascii="Arial" w:hAnsi="Arial" w:cs="Arial"/>
          <w:color w:val="000000" w:themeColor="text1"/>
          <w:sz w:val="24"/>
          <w:szCs w:val="24"/>
        </w:rPr>
        <w:t>being offer to support children to ‘feel well’ and to develop their social and emotional literacy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27871D" w14:textId="77777777" w:rsidR="00496B8E" w:rsidRPr="007C175E" w:rsidRDefault="00F85371" w:rsidP="00FF1F14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1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Personal development</w:t>
      </w:r>
    </w:p>
    <w:p w14:paraId="56771CB4" w14:textId="77777777" w:rsidR="00F85371" w:rsidRPr="00645F21" w:rsidRDefault="007C175E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It is our belief that well</w:t>
      </w:r>
      <w:r w:rsidR="00F85371" w:rsidRPr="00645F21">
        <w:rPr>
          <w:rFonts w:ascii="Arial" w:hAnsi="Arial" w:cs="Arial"/>
          <w:color w:val="000000" w:themeColor="text1"/>
          <w:sz w:val="24"/>
          <w:szCs w:val="24"/>
        </w:rPr>
        <w:t>being needs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</w:t>
      </w:r>
      <w:r w:rsidR="00F85371" w:rsidRPr="00645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taught and explored explicitly (through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aspects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the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curr</w:t>
      </w:r>
      <w:r w:rsidR="00DA2D17">
        <w:rPr>
          <w:rFonts w:ascii="Arial" w:hAnsi="Arial" w:cs="Arial"/>
          <w:color w:val="000000" w:themeColor="text1"/>
          <w:sz w:val="24"/>
          <w:szCs w:val="24"/>
        </w:rPr>
        <w:t>iculum such as healthy eating, Mental Health W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>eek</w:t>
      </w:r>
      <w:r w:rsidR="00DA2D17">
        <w:rPr>
          <w:rFonts w:ascii="Arial" w:hAnsi="Arial" w:cs="Arial"/>
          <w:color w:val="000000" w:themeColor="text1"/>
          <w:sz w:val="24"/>
          <w:szCs w:val="24"/>
        </w:rPr>
        <w:t>,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etc.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and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implicitly through the way that all members of the school community are expected to care for each other, listen to each other and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respect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each other. Our approach to supporting positive behaviour mirrors this and encourages </w:t>
      </w:r>
      <w:r w:rsidR="00B031FE" w:rsidRPr="00645F21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58690E" w:rsidRPr="00645F21">
        <w:rPr>
          <w:rFonts w:ascii="Arial" w:hAnsi="Arial" w:cs="Arial"/>
          <w:color w:val="000000" w:themeColor="text1"/>
          <w:sz w:val="24"/>
          <w:szCs w:val="24"/>
        </w:rPr>
        <w:t xml:space="preserve"> to develop their emotional literacy and to be able to acknowledge and discuss </w:t>
      </w:r>
      <w:r w:rsidR="00C15142">
        <w:rPr>
          <w:rFonts w:ascii="Arial" w:hAnsi="Arial" w:cs="Arial"/>
          <w:color w:val="000000" w:themeColor="text1"/>
          <w:sz w:val="24"/>
          <w:szCs w:val="24"/>
        </w:rPr>
        <w:t>their feelings and emotions. A combination of a highly structured PSHE and RSE curriculum and a wider programme of whole school focus days and weeks directly supports</w:t>
      </w:r>
      <w:r w:rsidR="003B7C98">
        <w:rPr>
          <w:rFonts w:ascii="Arial" w:hAnsi="Arial" w:cs="Arial"/>
          <w:color w:val="000000" w:themeColor="text1"/>
          <w:sz w:val="24"/>
          <w:szCs w:val="24"/>
        </w:rPr>
        <w:t xml:space="preserve"> and contributes to</w:t>
      </w:r>
      <w:r w:rsidR="00C15142">
        <w:rPr>
          <w:rFonts w:ascii="Arial" w:hAnsi="Arial" w:cs="Arial"/>
          <w:color w:val="000000" w:themeColor="text1"/>
          <w:sz w:val="24"/>
          <w:szCs w:val="24"/>
        </w:rPr>
        <w:t xml:space="preserve"> pupils’ personal development.</w:t>
      </w:r>
    </w:p>
    <w:p w14:paraId="329515EF" w14:textId="77777777" w:rsidR="00496B8E" w:rsidRPr="00DA2D17" w:rsidRDefault="00496B8E" w:rsidP="00FF1F14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C7744EC" w14:textId="77777777" w:rsidR="00AA62C8" w:rsidRPr="00DA2D17" w:rsidRDefault="000B7282" w:rsidP="00FF1F14">
      <w:pPr>
        <w:tabs>
          <w:tab w:val="left" w:pos="2385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A2D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 research based curriculum</w:t>
      </w:r>
    </w:p>
    <w:p w14:paraId="269BD612" w14:textId="77777777" w:rsidR="00F7065B" w:rsidRPr="00FF1F14" w:rsidRDefault="00AA62C8" w:rsidP="00FF1F14">
      <w:pPr>
        <w:tabs>
          <w:tab w:val="left" w:pos="23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range of e</w:t>
      </w:r>
      <w:r w:rsidR="00F7065B">
        <w:rPr>
          <w:rFonts w:ascii="Arial" w:hAnsi="Arial" w:cs="Arial"/>
          <w:color w:val="000000" w:themeColor="text1"/>
          <w:sz w:val="24"/>
          <w:szCs w:val="24"/>
        </w:rPr>
        <w:t xml:space="preserve">ducational research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has been </w:t>
      </w:r>
      <w:r w:rsidR="00F7065B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tilised to develop planning, pedagogy and practice within our curriculum. </w:t>
      </w:r>
      <w:r w:rsidR="000B7282">
        <w:rPr>
          <w:rFonts w:ascii="Arial" w:hAnsi="Arial" w:cs="Arial"/>
          <w:color w:val="000000" w:themeColor="text1"/>
          <w:sz w:val="24"/>
          <w:szCs w:val="24"/>
        </w:rPr>
        <w:t>Our provision has been influenced by the Kagan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odel and </w:t>
      </w:r>
      <w:r w:rsidR="00F7065B">
        <w:rPr>
          <w:rFonts w:ascii="Arial" w:hAnsi="Arial" w:cs="Arial"/>
          <w:color w:val="000000" w:themeColor="text1"/>
          <w:sz w:val="24"/>
          <w:szCs w:val="24"/>
        </w:rPr>
        <w:t xml:space="preserve">the work of neuro-scientists 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around the development of schemata </w:t>
      </w:r>
      <w:r w:rsidR="000B728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3B7C98">
        <w:rPr>
          <w:rFonts w:ascii="Arial" w:hAnsi="Arial" w:cs="Arial"/>
          <w:color w:val="000000" w:themeColor="text1"/>
          <w:sz w:val="24"/>
          <w:szCs w:val="24"/>
        </w:rPr>
        <w:t xml:space="preserve">the transference from short to </w:t>
      </w:r>
      <w:r w:rsidR="000B7282">
        <w:rPr>
          <w:rFonts w:ascii="Arial" w:hAnsi="Arial" w:cs="Arial"/>
          <w:color w:val="000000" w:themeColor="text1"/>
          <w:sz w:val="24"/>
          <w:szCs w:val="24"/>
        </w:rPr>
        <w:t>long term memory. Our whole-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curriculum emphasis upon the importance of the development of vocabulary and language has been influenced by the work of Alex Quigley and we </w:t>
      </w:r>
      <w:r>
        <w:rPr>
          <w:rFonts w:ascii="Arial" w:hAnsi="Arial" w:cs="Arial"/>
          <w:color w:val="000000" w:themeColor="text1"/>
          <w:sz w:val="24"/>
          <w:szCs w:val="24"/>
        </w:rPr>
        <w:t>have drawn upon many of the key messages from the EEF Toolkit as we have developed our provision over time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addition, our C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urriculum Networ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k Teams at OAT East </w:t>
      </w:r>
      <w:r>
        <w:rPr>
          <w:rFonts w:ascii="Arial" w:hAnsi="Arial" w:cs="Arial"/>
          <w:color w:val="000000" w:themeColor="text1"/>
          <w:sz w:val="24"/>
          <w:szCs w:val="24"/>
        </w:rPr>
        <w:t>are comprised of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 a wide range of colleagu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e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>s with additional research qu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a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lifications 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(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>such as the Maths MAST qualification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)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 and this directly supports the development of p</w:t>
      </w:r>
      <w:r w:rsidR="00B452EB">
        <w:rPr>
          <w:rFonts w:ascii="Arial" w:hAnsi="Arial" w:cs="Arial"/>
          <w:color w:val="000000" w:themeColor="text1"/>
          <w:sz w:val="24"/>
          <w:szCs w:val="24"/>
        </w:rPr>
        <w:t>ractice throughout our academy</w:t>
      </w:r>
      <w:r w:rsidR="00112A38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3703D31" w14:textId="77777777" w:rsidR="00FF1F14" w:rsidRDefault="00FF1F14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E853AC" w14:textId="77777777" w:rsidR="00FF1F14" w:rsidRDefault="00FF1F14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2DEC347" w14:textId="77777777" w:rsidR="00FF1F14" w:rsidRDefault="00FF1F14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6F653CE" w14:textId="77777777" w:rsidR="00FF1F14" w:rsidRDefault="00FF1F14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2F9FDF2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B900D59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5CE067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619BDCA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492B736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B8B81BD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FCF185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FCA6E8F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4002582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4ABE9F4" w14:textId="77777777" w:rsidR="000B7282" w:rsidRDefault="000B7282" w:rsidP="00A06833">
      <w:pPr>
        <w:tabs>
          <w:tab w:val="left" w:pos="2385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23B2DE8" w14:textId="77777777" w:rsidR="00A06833" w:rsidRPr="000B7282" w:rsidRDefault="00A06833" w:rsidP="00A06833">
      <w:pPr>
        <w:pStyle w:val="NormalWeb"/>
        <w:spacing w:before="0" w:beforeAutospacing="0" w:after="320" w:afterAutospacing="0"/>
        <w:ind w:left="720"/>
        <w:textAlignment w:val="baseline"/>
        <w:rPr>
          <w:rFonts w:ascii="Arial" w:hAnsi="Arial" w:cs="Arial"/>
          <w:b/>
          <w:bCs/>
          <w:color w:val="1F497D" w:themeColor="text2"/>
          <w:sz w:val="48"/>
          <w:szCs w:val="48"/>
        </w:rPr>
      </w:pPr>
    </w:p>
    <w:p w14:paraId="335CBEED" w14:textId="77777777" w:rsidR="00A06833" w:rsidRPr="000B7282" w:rsidRDefault="00A06833" w:rsidP="00A06833">
      <w:pPr>
        <w:shd w:val="clear" w:color="auto" w:fill="FFFFFF"/>
        <w:spacing w:before="220" w:after="0" w:line="240" w:lineRule="auto"/>
        <w:ind w:left="720"/>
        <w:textAlignment w:val="baseline"/>
        <w:rPr>
          <w:rFonts w:eastAsia="Times New Roman" w:cs="Times New Roman"/>
          <w:bCs/>
          <w:color w:val="1F497D" w:themeColor="text2"/>
          <w:sz w:val="24"/>
          <w:szCs w:val="24"/>
          <w:lang w:eastAsia="en-GB"/>
        </w:rPr>
      </w:pPr>
    </w:p>
    <w:p w14:paraId="081552EF" w14:textId="77777777" w:rsidR="00A06833" w:rsidRPr="000B7282" w:rsidRDefault="00A06833" w:rsidP="00A06833">
      <w:pPr>
        <w:tabs>
          <w:tab w:val="left" w:pos="2385"/>
        </w:tabs>
        <w:jc w:val="center"/>
        <w:rPr>
          <w:color w:val="1F497D" w:themeColor="text2"/>
          <w:sz w:val="32"/>
        </w:rPr>
      </w:pPr>
    </w:p>
    <w:sectPr w:rsidR="00A06833" w:rsidRPr="000B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ECF"/>
    <w:multiLevelType w:val="multilevel"/>
    <w:tmpl w:val="620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56A9A"/>
    <w:multiLevelType w:val="multilevel"/>
    <w:tmpl w:val="A67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17725"/>
    <w:multiLevelType w:val="multilevel"/>
    <w:tmpl w:val="55D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34F4"/>
    <w:multiLevelType w:val="multilevel"/>
    <w:tmpl w:val="7D4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53ECE"/>
    <w:multiLevelType w:val="multilevel"/>
    <w:tmpl w:val="6E9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969EA"/>
    <w:multiLevelType w:val="hybridMultilevel"/>
    <w:tmpl w:val="EF6E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71576">
    <w:abstractNumId w:val="4"/>
  </w:num>
  <w:num w:numId="2" w16cid:durableId="1868711403">
    <w:abstractNumId w:val="3"/>
  </w:num>
  <w:num w:numId="3" w16cid:durableId="766193460">
    <w:abstractNumId w:val="1"/>
  </w:num>
  <w:num w:numId="4" w16cid:durableId="1865828653">
    <w:abstractNumId w:val="2"/>
  </w:num>
  <w:num w:numId="5" w16cid:durableId="206844211">
    <w:abstractNumId w:val="0"/>
  </w:num>
  <w:num w:numId="6" w16cid:durableId="107069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33"/>
    <w:rsid w:val="00045364"/>
    <w:rsid w:val="00074B1F"/>
    <w:rsid w:val="000B7282"/>
    <w:rsid w:val="000C2E49"/>
    <w:rsid w:val="00112A38"/>
    <w:rsid w:val="00126F5B"/>
    <w:rsid w:val="00152B22"/>
    <w:rsid w:val="002A2731"/>
    <w:rsid w:val="002E2DA2"/>
    <w:rsid w:val="00311525"/>
    <w:rsid w:val="003B7C98"/>
    <w:rsid w:val="0043094A"/>
    <w:rsid w:val="00475249"/>
    <w:rsid w:val="00496B8E"/>
    <w:rsid w:val="004C7C33"/>
    <w:rsid w:val="00541B4D"/>
    <w:rsid w:val="0058690E"/>
    <w:rsid w:val="00645F21"/>
    <w:rsid w:val="00650F3C"/>
    <w:rsid w:val="006B018E"/>
    <w:rsid w:val="00735C75"/>
    <w:rsid w:val="0074181B"/>
    <w:rsid w:val="007C175E"/>
    <w:rsid w:val="008D173C"/>
    <w:rsid w:val="00945A39"/>
    <w:rsid w:val="00A06833"/>
    <w:rsid w:val="00AA62C8"/>
    <w:rsid w:val="00B031FE"/>
    <w:rsid w:val="00B050BE"/>
    <w:rsid w:val="00B452EB"/>
    <w:rsid w:val="00BA00B4"/>
    <w:rsid w:val="00C15142"/>
    <w:rsid w:val="00C407F1"/>
    <w:rsid w:val="00D523AB"/>
    <w:rsid w:val="00D56E5B"/>
    <w:rsid w:val="00D943B9"/>
    <w:rsid w:val="00DA2D17"/>
    <w:rsid w:val="00E103F4"/>
    <w:rsid w:val="00E27B8D"/>
    <w:rsid w:val="00EA1AC0"/>
    <w:rsid w:val="00EE793C"/>
    <w:rsid w:val="00F7065B"/>
    <w:rsid w:val="00F85371"/>
    <w:rsid w:val="00FC40F3"/>
    <w:rsid w:val="00FE7274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AB1F"/>
  <w15:docId w15:val="{F5E8C99E-C52A-48E2-99D9-0E51F3E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VBoyd</dc:creator>
  <cp:lastModifiedBy>R Boulton</cp:lastModifiedBy>
  <cp:revision>2</cp:revision>
  <cp:lastPrinted>2019-07-01T08:43:00Z</cp:lastPrinted>
  <dcterms:created xsi:type="dcterms:W3CDTF">2022-12-07T11:36:00Z</dcterms:created>
  <dcterms:modified xsi:type="dcterms:W3CDTF">2022-12-07T11:36:00Z</dcterms:modified>
</cp:coreProperties>
</file>